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A00A28">
      <w:pPr>
        <w:tabs>
          <w:tab w:val="right" w:pos="7910"/>
        </w:tabs>
        <w:jc w:val="both"/>
        <w:rPr>
          <w:rStyle w:val="Nessuno"/>
          <w:rFonts w:cs="Times New Roman"/>
          <w:i/>
          <w:iCs/>
          <w:sz w:val="28"/>
          <w:szCs w:val="28"/>
        </w:rPr>
      </w:pPr>
    </w:p>
    <w:p w:rsidR="009F3DB9" w:rsidRDefault="0075299B" w:rsidP="00A00A28">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Press release no. 14/2019</w:t>
      </w:r>
    </w:p>
    <w:p w:rsidR="00A00A28" w:rsidRPr="00C62826" w:rsidRDefault="0075299B" w:rsidP="00A00A28">
      <w:pPr>
        <w:tabs>
          <w:tab w:val="right" w:pos="7910"/>
        </w:tabs>
        <w:jc w:val="both"/>
        <w:rPr>
          <w:rFonts w:cs="Times New Roman"/>
          <w:b/>
          <w:sz w:val="28"/>
          <w:szCs w:val="28"/>
        </w:rPr>
      </w:pPr>
      <w:r>
        <w:rPr>
          <w:rFonts w:eastAsia="Times New Roman" w:cs="Times New Roman"/>
          <w:b/>
          <w:bCs/>
          <w:sz w:val="28"/>
          <w:szCs w:val="28"/>
          <w:lang w:val="en-GB"/>
        </w:rPr>
        <w:t>Agrilevante, headed for a record edition</w:t>
      </w:r>
    </w:p>
    <w:p w:rsidR="00A00A28" w:rsidRPr="004A55B6" w:rsidRDefault="00A00A28" w:rsidP="00A00A28">
      <w:pPr>
        <w:tabs>
          <w:tab w:val="right" w:pos="7910"/>
        </w:tabs>
        <w:jc w:val="both"/>
        <w:rPr>
          <w:rFonts w:cs="Times New Roman"/>
          <w:b/>
        </w:rPr>
      </w:pPr>
    </w:p>
    <w:p w:rsidR="00A00A28" w:rsidRPr="00A00A28" w:rsidRDefault="0075299B" w:rsidP="00A00A28">
      <w:pPr>
        <w:tabs>
          <w:tab w:val="right" w:pos="7910"/>
        </w:tabs>
        <w:jc w:val="both"/>
        <w:rPr>
          <w:rFonts w:cs="Times New Roman"/>
          <w:b/>
          <w:color w:val="333333"/>
          <w:sz w:val="23"/>
          <w:szCs w:val="23"/>
        </w:rPr>
      </w:pPr>
      <w:r>
        <w:rPr>
          <w:rFonts w:eastAsia="Times New Roman" w:cs="Times New Roman"/>
          <w:b/>
          <w:bCs/>
          <w:lang w:val="en-GB"/>
        </w:rPr>
        <w:t xml:space="preserve">From October 10 to 13, Fiera del Levante hosts the sixth edition of Agrilevante, the international exhibition dedicated to machines and technologies for agriculture, which confirms its growing success. With the rescheduling of the SIMA exhibition in Paris to even years, </w:t>
      </w:r>
      <w:r>
        <w:rPr>
          <w:rFonts w:eastAsia="Times New Roman" w:cs="Times New Roman"/>
          <w:b/>
          <w:bCs/>
          <w:color w:val="333333"/>
          <w:lang w:val="en-GB"/>
        </w:rPr>
        <w:t xml:space="preserve">in the odd years Agrilevante will become the only exhibition dedicated to the agricultural supply chains of the </w:t>
      </w:r>
      <w:r>
        <w:rPr>
          <w:rFonts w:eastAsia="Times New Roman" w:cs="Times New Roman"/>
          <w:b/>
          <w:bCs/>
          <w:sz w:val="23"/>
          <w:szCs w:val="23"/>
          <w:lang w:val="en-GB"/>
        </w:rPr>
        <w:t>Mediterranean</w:t>
      </w:r>
    </w:p>
    <w:p w:rsidR="00A00A28" w:rsidRPr="00A00A28" w:rsidRDefault="00A00A28" w:rsidP="00A00A28">
      <w:pPr>
        <w:tabs>
          <w:tab w:val="right" w:pos="7910"/>
        </w:tabs>
        <w:jc w:val="both"/>
        <w:rPr>
          <w:rFonts w:cs="Times New Roman"/>
          <w:sz w:val="23"/>
          <w:szCs w:val="23"/>
        </w:rPr>
      </w:pPr>
    </w:p>
    <w:p w:rsidR="00A00A28" w:rsidRDefault="0075299B" w:rsidP="00A00A28">
      <w:pPr>
        <w:tabs>
          <w:tab w:val="right" w:pos="7910"/>
        </w:tabs>
        <w:jc w:val="both"/>
        <w:rPr>
          <w:rFonts w:cs="Times New Roman"/>
          <w:color w:val="333333"/>
          <w:sz w:val="23"/>
          <w:szCs w:val="23"/>
        </w:rPr>
      </w:pPr>
      <w:r>
        <w:rPr>
          <w:rFonts w:eastAsia="Times New Roman" w:cs="Times New Roman"/>
          <w:color w:val="222222"/>
          <w:sz w:val="23"/>
          <w:szCs w:val="23"/>
          <w:shd w:val="clear" w:color="auto" w:fill="FFFFFF"/>
          <w:lang w:val="en-GB"/>
        </w:rPr>
        <w:t>More than 350 exhibiting industries representing six production chains (grains, non-food energy, olives/olive oil, fruit and vegetable, vineyards/wine, live</w:t>
      </w:r>
      <w:r w:rsidR="00132B95">
        <w:rPr>
          <w:rFonts w:eastAsia="Times New Roman" w:cs="Times New Roman"/>
          <w:color w:val="222222"/>
          <w:sz w:val="23"/>
          <w:szCs w:val="23"/>
          <w:shd w:val="clear" w:color="auto" w:fill="FFFFFF"/>
          <w:lang w:val="en-GB"/>
        </w:rPr>
        <w:t>s</w:t>
      </w:r>
      <w:bookmarkStart w:id="0" w:name="_GoBack"/>
      <w:bookmarkEnd w:id="0"/>
      <w:r>
        <w:rPr>
          <w:rFonts w:eastAsia="Times New Roman" w:cs="Times New Roman"/>
          <w:color w:val="222222"/>
          <w:sz w:val="23"/>
          <w:szCs w:val="23"/>
          <w:shd w:val="clear" w:color="auto" w:fill="FFFFFF"/>
          <w:lang w:val="en-GB"/>
        </w:rPr>
        <w:t xml:space="preserve">tock); over 80 thousand visitors expected; foreign delegations from 40 countries will be involved in "business to business" meetings with exhibiting companies. The sixth edition of Agrilevante, the biennial exhibition dedicated to machines and technologies for agricultural supply chains that takes place at the Bari Fair from 10 to 13 October and which is organized by FerderUnacoma in collaboration with the Fiera del Levante and Regione Puglia, is turning out to be a record edition. The event, which covers a total area of over 60 thousand square metres, is already starting to confirm the success that has characterized it since its debut on the international trade fair scene, which took place in 2009. Agrilevante has a winning formula, based on the strong Mediterranean vocation of the event and therefore the ability to look at the agriculture of northern Africa, the Balkans, the Middle East and southern Europe. The event - presented this morning in Bari during a press conference by Massimo Goldoni, managing director of FederUnacoma surl - offers important news. First of all, </w:t>
      </w:r>
      <w:r>
        <w:rPr>
          <w:rFonts w:eastAsia="Times New Roman" w:cs="Times New Roman"/>
          <w:color w:val="333333"/>
          <w:sz w:val="23"/>
          <w:szCs w:val="23"/>
          <w:lang w:val="en-GB"/>
        </w:rPr>
        <w:t xml:space="preserve">the introduction of a livestock section in collaboration with the Italian Breeders Association (AIA) and with the regional ARA Puglia Association, with 500 head of cattle, horses, sheep and goats of indigenous breeds. Another innovation consists in </w:t>
      </w:r>
      <w:r>
        <w:rPr>
          <w:rFonts w:eastAsia="Times New Roman" w:cs="Times New Roman"/>
          <w:color w:val="333333"/>
          <w:sz w:val="23"/>
          <w:szCs w:val="23"/>
          <w:shd w:val="clear" w:color="auto" w:fill="FFFFFF"/>
          <w:lang w:val="en-GB"/>
        </w:rPr>
        <w:t>the inclusion of an area dedicated to machines and technologies for gardening and landscaping, a show that caters to the target audience of public and private green areas maintenance staff and hobbyists, thus expanding the number of visitors to Agrilevante. However, the strong Mediterranean vocation of the event emerges from the rich calendar of in-depth meetings that will touch upon a vast range of topics, such as those relating</w:t>
      </w:r>
      <w:r>
        <w:rPr>
          <w:rFonts w:eastAsia="Times New Roman" w:cs="Times New Roman"/>
          <w:color w:val="333333"/>
          <w:sz w:val="23"/>
          <w:szCs w:val="23"/>
          <w:lang w:val="en-GB"/>
        </w:rPr>
        <w:t xml:space="preserve"> to the agronomic techniques for the typical productions of the area, the need for mechanization in the Countries of the basin, or the political and economic questions concerning the development trends of agriculture in that area. The positioning of Agrilevante in the</w:t>
      </w:r>
      <w:r>
        <w:rPr>
          <w:rFonts w:eastAsia="Times New Roman" w:cs="Times New Roman"/>
          <w:color w:val="333333"/>
          <w:sz w:val="23"/>
          <w:szCs w:val="23"/>
          <w:shd w:val="clear" w:color="auto" w:fill="FFFFFF"/>
          <w:lang w:val="en-GB"/>
        </w:rPr>
        <w:t xml:space="preserve"> trade fair landscape and in the calendar of sector events appears increasingly strategic. After all, </w:t>
      </w:r>
      <w:r>
        <w:rPr>
          <w:rFonts w:eastAsia="Times New Roman" w:cs="Times New Roman"/>
          <w:color w:val="333333"/>
          <w:sz w:val="23"/>
          <w:szCs w:val="23"/>
          <w:lang w:val="en-GB"/>
        </w:rPr>
        <w:t xml:space="preserve">the decision by the SIMA exhibition in Paris to radically change its calendar and to position itself from February of the odd years (its historical schedule) to November of even years, overlapping with the EIMA of Bologna, promises to play in favour of the Bari event. "In the next few years - explains Massimo Goldoni - Agrilevante will be the only exhibition dedicated to the Mediterranean agricultural supply chains and specialized crops, since </w:t>
      </w:r>
      <w:r>
        <w:rPr>
          <w:rFonts w:eastAsia="Times New Roman" w:cs="Times New Roman"/>
          <w:color w:val="333333"/>
          <w:sz w:val="23"/>
          <w:szCs w:val="23"/>
          <w:shd w:val="clear" w:color="auto" w:fill="FFFFFF"/>
          <w:lang w:val="en-GB"/>
        </w:rPr>
        <w:t>the world exhibition of agricultural machinery held in odd years, the Agritechnica of Hannover, is characterized by machinery for large extensive crops and for agriculture in Northern Europe</w:t>
      </w:r>
      <w:r>
        <w:rPr>
          <w:rFonts w:eastAsia="Times New Roman" w:cs="Times New Roman"/>
          <w:color w:val="333333"/>
          <w:sz w:val="23"/>
          <w:szCs w:val="23"/>
          <w:lang w:val="en-GB"/>
        </w:rPr>
        <w:t>".</w:t>
      </w:r>
    </w:p>
    <w:p w:rsidR="00076DAA" w:rsidRPr="00A00A28" w:rsidRDefault="00076DAA" w:rsidP="00A00A28">
      <w:pPr>
        <w:tabs>
          <w:tab w:val="right" w:pos="7910"/>
        </w:tabs>
        <w:jc w:val="both"/>
        <w:rPr>
          <w:rFonts w:cs="Times New Roman"/>
          <w:b/>
          <w:color w:val="333333"/>
        </w:rPr>
      </w:pPr>
    </w:p>
    <w:p w:rsidR="002C71A5" w:rsidRPr="00A00A28" w:rsidRDefault="0075299B" w:rsidP="00A00A28">
      <w:pPr>
        <w:tabs>
          <w:tab w:val="right" w:pos="7910"/>
        </w:tabs>
        <w:jc w:val="both"/>
        <w:rPr>
          <w:rFonts w:cs="Times New Roman"/>
          <w:b/>
          <w:color w:val="333333"/>
        </w:rPr>
      </w:pPr>
      <w:r>
        <w:rPr>
          <w:rFonts w:eastAsia="Times New Roman" w:cs="Times New Roman"/>
          <w:b/>
          <w:bCs/>
          <w:color w:val="333333"/>
          <w:lang w:val="en-GB"/>
        </w:rPr>
        <w:t>Bari, 9 October 2019</w:t>
      </w:r>
    </w:p>
    <w:sectPr w:rsidR="002C71A5" w:rsidRPr="00A00A28" w:rsidSect="00A00A28">
      <w:footerReference w:type="default" r:id="rId6"/>
      <w:headerReference w:type="first" r:id="rId7"/>
      <w:footerReference w:type="first" r:id="rId8"/>
      <w:pgSz w:w="11900" w:h="16840"/>
      <w:pgMar w:top="1588" w:right="418"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22" w:rsidRDefault="00F22622">
      <w:r>
        <w:separator/>
      </w:r>
    </w:p>
  </w:endnote>
  <w:endnote w:type="continuationSeparator" w:id="0">
    <w:p w:rsidR="00F22622" w:rsidRDefault="00F2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75299B">
    <w:pPr>
      <w:pStyle w:val="Pidipagina"/>
      <w:tabs>
        <w:tab w:val="clear" w:pos="9638"/>
        <w:tab w:val="right" w:pos="7910"/>
      </w:tabs>
      <w:jc w:val="right"/>
    </w:pPr>
    <w:r>
      <w:fldChar w:fldCharType="begin"/>
    </w:r>
    <w:r w:rsidR="00C07EC8">
      <w:instrText xml:space="preserve"> PAGE </w:instrText>
    </w:r>
    <w:r>
      <w:fldChar w:fldCharType="separate"/>
    </w:r>
    <w:r w:rsidR="00A00A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75299B">
        <w:pPr>
          <w:pStyle w:val="Pidipagina"/>
          <w:jc w:val="right"/>
        </w:pPr>
        <w:r>
          <w:fldChar w:fldCharType="begin"/>
        </w:r>
        <w:r>
          <w:instrText xml:space="preserve"> PAGE   \* MERGEFORMAT </w:instrText>
        </w:r>
        <w:r>
          <w:fldChar w:fldCharType="separate"/>
        </w:r>
        <w:r w:rsidR="00132B95">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22" w:rsidRDefault="00F22622">
      <w:r>
        <w:separator/>
      </w:r>
    </w:p>
  </w:footnote>
  <w:footnote w:type="continuationSeparator" w:id="0">
    <w:p w:rsidR="00F22622" w:rsidRDefault="00F2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75299B">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132B95"/>
    <w:rsid w:val="001B6DCD"/>
    <w:rsid w:val="00277A8B"/>
    <w:rsid w:val="002A41B4"/>
    <w:rsid w:val="002C71A5"/>
    <w:rsid w:val="00316EFE"/>
    <w:rsid w:val="003857B8"/>
    <w:rsid w:val="003E0BDB"/>
    <w:rsid w:val="004A55B6"/>
    <w:rsid w:val="004C6208"/>
    <w:rsid w:val="004E17CC"/>
    <w:rsid w:val="0061688F"/>
    <w:rsid w:val="006F1D9E"/>
    <w:rsid w:val="0075299B"/>
    <w:rsid w:val="00801DE7"/>
    <w:rsid w:val="00845284"/>
    <w:rsid w:val="008709D5"/>
    <w:rsid w:val="00924C77"/>
    <w:rsid w:val="00943DF8"/>
    <w:rsid w:val="009450EE"/>
    <w:rsid w:val="00962D05"/>
    <w:rsid w:val="00997833"/>
    <w:rsid w:val="009F3DB9"/>
    <w:rsid w:val="00A00A28"/>
    <w:rsid w:val="00A708C5"/>
    <w:rsid w:val="00AC0E19"/>
    <w:rsid w:val="00BE12FB"/>
    <w:rsid w:val="00C07EC8"/>
    <w:rsid w:val="00C159D1"/>
    <w:rsid w:val="00C62826"/>
    <w:rsid w:val="00CA4E18"/>
    <w:rsid w:val="00CB3E1B"/>
    <w:rsid w:val="00CF08F6"/>
    <w:rsid w:val="00D039E3"/>
    <w:rsid w:val="00D44E3C"/>
    <w:rsid w:val="00DF43D4"/>
    <w:rsid w:val="00E63937"/>
    <w:rsid w:val="00F22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2019-10-08T19:41:00Z</cp:lastPrinted>
  <dcterms:created xsi:type="dcterms:W3CDTF">2019-10-11T06:00:00Z</dcterms:created>
  <dcterms:modified xsi:type="dcterms:W3CDTF">2019-10-11T06:51:00Z</dcterms:modified>
</cp:coreProperties>
</file>