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DB4D" w14:textId="77777777" w:rsidR="00DB394D" w:rsidRDefault="00DB394D" w:rsidP="0033589C">
      <w:pPr>
        <w:pStyle w:val="Normale1"/>
        <w:ind w:left="1276" w:right="-1327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</w:p>
    <w:p w14:paraId="28959C0C" w14:textId="7C8282F2" w:rsidR="0033589C" w:rsidRPr="009F048E" w:rsidRDefault="0033589C" w:rsidP="0033589C">
      <w:pPr>
        <w:pStyle w:val="Normale2"/>
        <w:ind w:right="-1327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                    </w:t>
      </w:r>
      <w:r w:rsidRPr="009F048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Comunicato stampa n. 3/2024</w:t>
      </w:r>
      <w:r w:rsidRPr="009F048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ab/>
      </w:r>
    </w:p>
    <w:p w14:paraId="0E904204" w14:textId="77777777" w:rsidR="0033589C" w:rsidRPr="009F048E" w:rsidRDefault="0033589C" w:rsidP="0033589C">
      <w:pPr>
        <w:pStyle w:val="Normale2"/>
        <w:ind w:left="1276" w:right="-1327"/>
        <w:jc w:val="both"/>
        <w:rPr>
          <w:rFonts w:ascii="Times New Roman" w:eastAsia="Times New Roman" w:hAnsi="Times New Roman" w:cs="Times New Roman"/>
          <w:i/>
          <w:sz w:val="10"/>
          <w:szCs w:val="10"/>
          <w:lang w:val="it-IT"/>
        </w:rPr>
      </w:pPr>
    </w:p>
    <w:p w14:paraId="4F415C22" w14:textId="77777777" w:rsidR="0033589C" w:rsidRPr="009F048E" w:rsidRDefault="0033589C" w:rsidP="0033589C">
      <w:pPr>
        <w:tabs>
          <w:tab w:val="left" w:pos="4111"/>
        </w:tabs>
        <w:ind w:left="1276" w:right="-1327"/>
        <w:jc w:val="both"/>
        <w:rPr>
          <w:rFonts w:ascii="Times New Roman" w:hAnsi="Times New Roman"/>
          <w:b/>
          <w:bCs/>
          <w:sz w:val="26"/>
          <w:szCs w:val="26"/>
        </w:rPr>
      </w:pPr>
      <w:r w:rsidRPr="009F048E">
        <w:rPr>
          <w:rFonts w:ascii="Times New Roman" w:hAnsi="Times New Roman"/>
          <w:b/>
          <w:bCs/>
          <w:sz w:val="26"/>
          <w:szCs w:val="26"/>
        </w:rPr>
        <w:t>EIMA Agrimach: innovazione e sostenibilità i temi in evidenza</w:t>
      </w:r>
    </w:p>
    <w:p w14:paraId="19786589" w14:textId="6D4B601B" w:rsidR="0033589C" w:rsidRPr="009F048E" w:rsidRDefault="0033589C" w:rsidP="0033589C">
      <w:pPr>
        <w:tabs>
          <w:tab w:val="left" w:pos="4111"/>
        </w:tabs>
        <w:ind w:left="1276" w:right="-1327"/>
        <w:jc w:val="both"/>
        <w:rPr>
          <w:rFonts w:ascii="Times New Roman" w:hAnsi="Times New Roman"/>
          <w:b/>
          <w:bCs/>
        </w:rPr>
      </w:pPr>
      <w:r w:rsidRPr="009F048E">
        <w:rPr>
          <w:rFonts w:ascii="Times New Roman" w:hAnsi="Times New Roman"/>
          <w:b/>
          <w:bCs/>
          <w:i/>
          <w:iCs/>
        </w:rPr>
        <w:t xml:space="preserve">L’economia agricola dell’India ha conosciuto negli ultimi 50 anni una crescita </w:t>
      </w:r>
      <w:r w:rsidR="00823561" w:rsidRPr="009F048E">
        <w:rPr>
          <w:rFonts w:ascii="Times New Roman" w:hAnsi="Times New Roman"/>
          <w:b/>
          <w:bCs/>
          <w:i/>
          <w:iCs/>
          <w:lang w:val="it-IT"/>
        </w:rPr>
        <w:t>sostenuta</w:t>
      </w:r>
      <w:r w:rsidRPr="009F048E">
        <w:rPr>
          <w:rFonts w:ascii="Times New Roman" w:hAnsi="Times New Roman"/>
          <w:b/>
          <w:bCs/>
          <w:i/>
          <w:iCs/>
        </w:rPr>
        <w:t xml:space="preserve">. Il Paese ha raggiunto l’autosufficienza alimentare ma il settore primario registra ancora oggi situazioni di squilibrio reddituale ed ambientale. Gli investimenti in macchinari innovativi contribuiscono a ridurle, </w:t>
      </w:r>
      <w:r w:rsidR="00CF5D04" w:rsidRPr="009F048E">
        <w:rPr>
          <w:rFonts w:ascii="Times New Roman" w:hAnsi="Times New Roman"/>
          <w:b/>
          <w:bCs/>
          <w:i/>
          <w:iCs/>
          <w:lang w:val="it-IT"/>
        </w:rPr>
        <w:t xml:space="preserve">migliorando la produttività </w:t>
      </w:r>
      <w:r w:rsidRPr="009F048E">
        <w:rPr>
          <w:rFonts w:ascii="Times New Roman" w:hAnsi="Times New Roman"/>
          <w:b/>
          <w:bCs/>
          <w:i/>
          <w:iCs/>
        </w:rPr>
        <w:t xml:space="preserve">e </w:t>
      </w:r>
      <w:r w:rsidR="00CF5D04" w:rsidRPr="009F048E">
        <w:rPr>
          <w:rFonts w:ascii="Times New Roman" w:hAnsi="Times New Roman"/>
          <w:b/>
          <w:bCs/>
          <w:i/>
          <w:iCs/>
          <w:lang w:val="it-IT"/>
        </w:rPr>
        <w:t>razionalizzando l’impiego dei fattori produttivi</w:t>
      </w:r>
      <w:r w:rsidRPr="009F048E">
        <w:rPr>
          <w:rFonts w:ascii="Times New Roman" w:hAnsi="Times New Roman"/>
          <w:b/>
          <w:bCs/>
          <w:i/>
          <w:iCs/>
        </w:rPr>
        <w:t>.</w:t>
      </w:r>
    </w:p>
    <w:p w14:paraId="3ADC02CD" w14:textId="77777777" w:rsidR="0033589C" w:rsidRPr="009F048E" w:rsidRDefault="0033589C" w:rsidP="0033589C">
      <w:pPr>
        <w:tabs>
          <w:tab w:val="left" w:pos="4111"/>
        </w:tabs>
        <w:ind w:left="1276" w:right="-1327"/>
        <w:jc w:val="both"/>
        <w:rPr>
          <w:rFonts w:ascii="Times New Roman" w:hAnsi="Times New Roman"/>
          <w:sz w:val="10"/>
          <w:szCs w:val="10"/>
        </w:rPr>
      </w:pPr>
    </w:p>
    <w:p w14:paraId="099A673D" w14:textId="77567EA6" w:rsidR="00FF215E" w:rsidRPr="00EF68C5" w:rsidRDefault="0033589C" w:rsidP="0033589C">
      <w:pPr>
        <w:tabs>
          <w:tab w:val="left" w:pos="4111"/>
        </w:tabs>
        <w:ind w:left="1276" w:right="-1327"/>
        <w:jc w:val="both"/>
        <w:rPr>
          <w:rFonts w:ascii="Times New Roman" w:eastAsia="Times New Roman" w:hAnsi="Times New Roman"/>
          <w:color w:val="000000"/>
          <w:szCs w:val="24"/>
        </w:rPr>
      </w:pPr>
      <w:r w:rsidRPr="00EF68C5">
        <w:rPr>
          <w:rFonts w:ascii="Times New Roman" w:hAnsi="Times New Roman"/>
          <w:szCs w:val="24"/>
        </w:rPr>
        <w:t>Il settore primario svolge un ruolo strategico per la stabilità del sistema economico indiano. Dati della Banca Mondiale indicano infatti che l’agricoltura produce il 17% del PIL nazionale e fornisce un sostentamento diretto al 60% degli oltre 1,4 miliardi di abitanti. L’adozione di moderne pratiche colturali, l’uso di fertilizzanti</w:t>
      </w:r>
      <w:r w:rsidR="00823561" w:rsidRPr="00EF68C5">
        <w:rPr>
          <w:rFonts w:ascii="Times New Roman" w:hAnsi="Times New Roman"/>
          <w:szCs w:val="24"/>
          <w:lang w:val="it-IT"/>
        </w:rPr>
        <w:t xml:space="preserve"> e di prodotti fitosanitari, oltreché di macchinari innovativi, </w:t>
      </w:r>
      <w:r w:rsidRPr="00EF68C5">
        <w:rPr>
          <w:rFonts w:ascii="Times New Roman" w:hAnsi="Times New Roman"/>
          <w:szCs w:val="24"/>
        </w:rPr>
        <w:t xml:space="preserve">hanno favorito la crescita del comparto, permettendo al Paese di raggiungere l’autosufficienza alimentare </w:t>
      </w:r>
      <w:r w:rsidR="00823561" w:rsidRPr="00EF68C5">
        <w:rPr>
          <w:rFonts w:ascii="Times New Roman" w:hAnsi="Times New Roman"/>
          <w:szCs w:val="24"/>
          <w:lang w:val="it-IT"/>
        </w:rPr>
        <w:t>e</w:t>
      </w:r>
      <w:r w:rsidRPr="00EF68C5">
        <w:rPr>
          <w:rFonts w:ascii="Times New Roman" w:hAnsi="Times New Roman"/>
          <w:szCs w:val="24"/>
        </w:rPr>
        <w:t xml:space="preserve"> diventare una delle </w:t>
      </w:r>
      <w:r w:rsidR="00823561" w:rsidRPr="00EF68C5">
        <w:rPr>
          <w:rFonts w:ascii="Times New Roman" w:hAnsi="Times New Roman"/>
          <w:szCs w:val="24"/>
          <w:lang w:val="it-IT"/>
        </w:rPr>
        <w:t>“</w:t>
      </w:r>
      <w:r w:rsidRPr="00EF68C5">
        <w:rPr>
          <w:rFonts w:ascii="Times New Roman" w:hAnsi="Times New Roman"/>
          <w:szCs w:val="24"/>
        </w:rPr>
        <w:t>centrali agricole del mondo</w:t>
      </w:r>
      <w:r w:rsidR="00823561" w:rsidRPr="00EF68C5">
        <w:rPr>
          <w:rFonts w:ascii="Times New Roman" w:hAnsi="Times New Roman"/>
          <w:szCs w:val="24"/>
          <w:lang w:val="it-IT"/>
        </w:rPr>
        <w:t>”</w:t>
      </w:r>
      <w:r w:rsidRPr="00EF68C5">
        <w:rPr>
          <w:rFonts w:ascii="Times New Roman" w:hAnsi="Times New Roman"/>
          <w:szCs w:val="24"/>
        </w:rPr>
        <w:t>. Oggi</w:t>
      </w:r>
      <w:r w:rsidR="00823561" w:rsidRPr="00EF68C5">
        <w:rPr>
          <w:rFonts w:ascii="Times New Roman" w:hAnsi="Times New Roman"/>
          <w:szCs w:val="24"/>
          <w:lang w:val="it-IT"/>
        </w:rPr>
        <w:t xml:space="preserve"> </w:t>
      </w:r>
      <w:r w:rsidRPr="00EF68C5">
        <w:rPr>
          <w:rFonts w:ascii="Times New Roman" w:hAnsi="Times New Roman"/>
          <w:szCs w:val="24"/>
        </w:rPr>
        <w:t xml:space="preserve">l’India è primo produttore mondiale di </w:t>
      </w:r>
      <w:r w:rsidRPr="00EF68C5">
        <w:rPr>
          <w:rFonts w:ascii="Times New Roman" w:eastAsia="Times New Roman" w:hAnsi="Times New Roman"/>
          <w:color w:val="000000"/>
          <w:szCs w:val="24"/>
        </w:rPr>
        <w:t xml:space="preserve">latte, di legumi e di spezie; il secondo di riso, grano, cotone e di canna da zucchero. Di questo si è parlato nel corso del convegno su “L’innovazione nel settore agromeccanico come chiave per un futuro sostenibile”, che si è tenuto nella giornata inaugurale di EIMA Agrimach, la rassegna internazionale delle tecnologie per l’agricoltura in svolgimento a Bangalore (Karnataka, India) fino al 3 marzo prossimo. L’incontro, </w:t>
      </w:r>
      <w:r w:rsidRPr="00EF68C5">
        <w:rPr>
          <w:rFonts w:ascii="Times New Roman" w:hAnsi="Times New Roman"/>
          <w:szCs w:val="24"/>
          <w:lang w:eastAsia="en-GB"/>
        </w:rPr>
        <w:t>che è stato moderato da</w:t>
      </w:r>
      <w:r w:rsidRPr="00EF68C5">
        <w:rPr>
          <w:rFonts w:ascii="Times New Roman" w:hAnsi="Times New Roman"/>
          <w:szCs w:val="24"/>
        </w:rPr>
        <w:t xml:space="preserve"> Guna Nand Shukla, direttore della divisione Agricoltura e Risorse Naturali presso PwC India, </w:t>
      </w:r>
      <w:r w:rsidRPr="00EF68C5">
        <w:rPr>
          <w:rFonts w:ascii="Times New Roman" w:hAnsi="Times New Roman"/>
          <w:szCs w:val="24"/>
          <w:lang w:eastAsia="en-GB"/>
        </w:rPr>
        <w:t>e che ha visto la partecipazione di Ashok Anantharaman, Am</w:t>
      </w:r>
      <w:r w:rsidRPr="00EF68C5">
        <w:rPr>
          <w:rFonts w:ascii="Times New Roman" w:hAnsi="Times New Roman"/>
          <w:szCs w:val="24"/>
          <w:lang w:val="it-IT" w:eastAsia="en-GB"/>
        </w:rPr>
        <w:t>mi</w:t>
      </w:r>
      <w:r w:rsidRPr="00EF68C5">
        <w:rPr>
          <w:rFonts w:ascii="Times New Roman" w:hAnsi="Times New Roman"/>
          <w:szCs w:val="24"/>
          <w:lang w:eastAsia="en-GB"/>
        </w:rPr>
        <w:t xml:space="preserve">nistratore Delegato di ACE; </w:t>
      </w:r>
      <w:r w:rsidR="00820205" w:rsidRPr="00EF68C5">
        <w:rPr>
          <w:rFonts w:ascii="Times New Roman" w:hAnsi="Times New Roman"/>
          <w:szCs w:val="24"/>
          <w:lang w:val="it-IT" w:eastAsia="en-GB"/>
        </w:rPr>
        <w:t xml:space="preserve">Vincenzo Perrone, presidente </w:t>
      </w:r>
      <w:proofErr w:type="spellStart"/>
      <w:r w:rsidR="00820205" w:rsidRPr="00EF68C5">
        <w:rPr>
          <w:rFonts w:ascii="Times New Roman" w:hAnsi="Times New Roman"/>
          <w:szCs w:val="24"/>
          <w:lang w:val="it-IT" w:eastAsia="en-GB"/>
        </w:rPr>
        <w:t>Kholer</w:t>
      </w:r>
      <w:proofErr w:type="spellEnd"/>
      <w:r w:rsidR="00820205" w:rsidRPr="00EF68C5">
        <w:rPr>
          <w:rFonts w:ascii="Times New Roman" w:hAnsi="Times New Roman"/>
          <w:szCs w:val="24"/>
          <w:lang w:val="it-IT" w:eastAsia="en-GB"/>
        </w:rPr>
        <w:t xml:space="preserve"> </w:t>
      </w:r>
      <w:proofErr w:type="spellStart"/>
      <w:r w:rsidR="00820205" w:rsidRPr="00EF68C5">
        <w:rPr>
          <w:rFonts w:ascii="Times New Roman" w:hAnsi="Times New Roman"/>
          <w:szCs w:val="24"/>
          <w:lang w:val="it-IT" w:eastAsia="en-GB"/>
        </w:rPr>
        <w:t>Engines</w:t>
      </w:r>
      <w:proofErr w:type="spellEnd"/>
      <w:r w:rsidR="00820205" w:rsidRPr="00EF68C5">
        <w:rPr>
          <w:rFonts w:ascii="Times New Roman" w:hAnsi="Times New Roman"/>
          <w:szCs w:val="24"/>
          <w:lang w:val="it-IT" w:eastAsia="en-GB"/>
        </w:rPr>
        <w:t>;</w:t>
      </w:r>
      <w:r w:rsidR="00823561" w:rsidRPr="00EF68C5">
        <w:rPr>
          <w:rFonts w:ascii="Times New Roman" w:hAnsi="Times New Roman"/>
          <w:szCs w:val="24"/>
          <w:lang w:val="it-IT" w:eastAsia="en-GB"/>
        </w:rPr>
        <w:t xml:space="preserve"> </w:t>
      </w:r>
      <w:r w:rsidRPr="00EF68C5">
        <w:rPr>
          <w:rFonts w:ascii="Times New Roman" w:hAnsi="Times New Roman"/>
          <w:szCs w:val="24"/>
        </w:rPr>
        <w:t xml:space="preserve">Dinesh Chauhan, AD di AIP ICRISAT; </w:t>
      </w:r>
      <w:r w:rsidR="00823561" w:rsidRPr="00EF68C5">
        <w:rPr>
          <w:rFonts w:ascii="Times New Roman" w:hAnsi="Times New Roman"/>
          <w:szCs w:val="24"/>
          <w:lang w:val="it-IT"/>
        </w:rPr>
        <w:t xml:space="preserve">di </w:t>
      </w:r>
      <w:r w:rsidRPr="00EF68C5">
        <w:rPr>
          <w:rFonts w:ascii="Times New Roman" w:hAnsi="Times New Roman"/>
          <w:szCs w:val="24"/>
        </w:rPr>
        <w:t>Carlo L</w:t>
      </w:r>
      <w:r w:rsidRPr="00EF68C5">
        <w:rPr>
          <w:rFonts w:ascii="Times New Roman" w:hAnsi="Times New Roman"/>
          <w:szCs w:val="24"/>
          <w:lang w:val="it-IT"/>
        </w:rPr>
        <w:t>inetti</w:t>
      </w:r>
      <w:r w:rsidRPr="00EF68C5">
        <w:rPr>
          <w:rFonts w:ascii="Times New Roman" w:hAnsi="Times New Roman"/>
          <w:szCs w:val="24"/>
        </w:rPr>
        <w:t>, presidente di AgriDigital</w:t>
      </w:r>
      <w:r w:rsidR="00820205" w:rsidRPr="00EF68C5">
        <w:rPr>
          <w:rFonts w:ascii="Times New Roman" w:hAnsi="Times New Roman"/>
          <w:szCs w:val="24"/>
          <w:lang w:val="it-IT"/>
        </w:rPr>
        <w:t>;</w:t>
      </w:r>
      <w:r w:rsidRPr="00EF68C5">
        <w:rPr>
          <w:rFonts w:ascii="Times New Roman" w:hAnsi="Times New Roman"/>
          <w:szCs w:val="24"/>
        </w:rPr>
        <w:t xml:space="preserve"> di Ajith D. Perera, presidente della Camera di Commercio e Industria dell’APTA</w:t>
      </w:r>
      <w:r w:rsidR="00820205" w:rsidRPr="00EF68C5">
        <w:rPr>
          <w:rFonts w:ascii="Times New Roman" w:hAnsi="Times New Roman"/>
          <w:szCs w:val="24"/>
          <w:lang w:val="it-IT"/>
        </w:rPr>
        <w:t xml:space="preserve">; </w:t>
      </w:r>
      <w:proofErr w:type="spellStart"/>
      <w:r w:rsidR="00820205" w:rsidRPr="00EF68C5">
        <w:rPr>
          <w:rFonts w:ascii="Times New Roman" w:hAnsi="Times New Roman"/>
          <w:szCs w:val="24"/>
          <w:lang w:val="it-IT"/>
        </w:rPr>
        <w:t>Chirag</w:t>
      </w:r>
      <w:proofErr w:type="spellEnd"/>
      <w:r w:rsidR="00820205" w:rsidRPr="00EF68C5">
        <w:rPr>
          <w:rFonts w:ascii="Times New Roman" w:hAnsi="Times New Roman"/>
          <w:szCs w:val="24"/>
          <w:lang w:val="it-IT"/>
        </w:rPr>
        <w:t xml:space="preserve"> </w:t>
      </w:r>
      <w:proofErr w:type="spellStart"/>
      <w:r w:rsidR="00820205" w:rsidRPr="00EF68C5">
        <w:rPr>
          <w:rFonts w:ascii="Times New Roman" w:hAnsi="Times New Roman"/>
          <w:szCs w:val="24"/>
          <w:lang w:val="it-IT"/>
        </w:rPr>
        <w:t>Reddy</w:t>
      </w:r>
      <w:proofErr w:type="spellEnd"/>
      <w:r w:rsidR="00820205" w:rsidRPr="00EF68C5">
        <w:rPr>
          <w:rFonts w:ascii="Times New Roman" w:hAnsi="Times New Roman"/>
          <w:szCs w:val="24"/>
          <w:lang w:val="it-IT"/>
        </w:rPr>
        <w:t xml:space="preserve">, ricercatore </w:t>
      </w:r>
      <w:proofErr w:type="spellStart"/>
      <w:r w:rsidR="00820205" w:rsidRPr="00EF68C5">
        <w:rPr>
          <w:rFonts w:ascii="Times New Roman" w:hAnsi="Times New Roman"/>
          <w:szCs w:val="24"/>
          <w:lang w:val="it-IT"/>
        </w:rPr>
        <w:t>Fasal</w:t>
      </w:r>
      <w:proofErr w:type="spellEnd"/>
      <w:r w:rsidR="00820205" w:rsidRPr="00EF68C5">
        <w:rPr>
          <w:rFonts w:ascii="Times New Roman" w:hAnsi="Times New Roman"/>
          <w:szCs w:val="24"/>
          <w:lang w:val="it-IT"/>
        </w:rPr>
        <w:t xml:space="preserve">; </w:t>
      </w:r>
      <w:proofErr w:type="spellStart"/>
      <w:r w:rsidR="00820205" w:rsidRPr="00EF68C5">
        <w:rPr>
          <w:rFonts w:ascii="Times New Roman" w:hAnsi="Times New Roman"/>
          <w:szCs w:val="24"/>
          <w:lang w:val="it-IT"/>
        </w:rPr>
        <w:t>Rajat</w:t>
      </w:r>
      <w:proofErr w:type="spellEnd"/>
      <w:r w:rsidR="00820205" w:rsidRPr="00EF68C5">
        <w:rPr>
          <w:rFonts w:ascii="Times New Roman" w:hAnsi="Times New Roman"/>
          <w:szCs w:val="24"/>
          <w:lang w:val="it-IT"/>
        </w:rPr>
        <w:t xml:space="preserve"> </w:t>
      </w:r>
      <w:proofErr w:type="spellStart"/>
      <w:r w:rsidR="00820205" w:rsidRPr="00EF68C5">
        <w:rPr>
          <w:rFonts w:ascii="Times New Roman" w:hAnsi="Times New Roman"/>
          <w:szCs w:val="24"/>
          <w:lang w:val="it-IT"/>
        </w:rPr>
        <w:t>Vasrdhan</w:t>
      </w:r>
      <w:proofErr w:type="spellEnd"/>
      <w:r w:rsidR="00820205" w:rsidRPr="00EF68C5">
        <w:rPr>
          <w:rFonts w:ascii="Times New Roman" w:hAnsi="Times New Roman"/>
          <w:szCs w:val="24"/>
          <w:lang w:val="it-IT"/>
        </w:rPr>
        <w:t xml:space="preserve">, cofondatore e AD di </w:t>
      </w:r>
      <w:proofErr w:type="spellStart"/>
      <w:r w:rsidR="00820205" w:rsidRPr="00EF68C5">
        <w:rPr>
          <w:rFonts w:ascii="Times New Roman" w:hAnsi="Times New Roman"/>
          <w:szCs w:val="24"/>
          <w:lang w:val="it-IT"/>
        </w:rPr>
        <w:t>AgroNXT</w:t>
      </w:r>
      <w:proofErr w:type="spellEnd"/>
      <w:r w:rsidRPr="00EF68C5">
        <w:rPr>
          <w:rFonts w:ascii="Times New Roman" w:hAnsi="Times New Roman"/>
          <w:szCs w:val="24"/>
        </w:rPr>
        <w:t>,</w:t>
      </w:r>
      <w:r w:rsidRPr="00EF68C5">
        <w:rPr>
          <w:rFonts w:ascii="Times New Roman" w:hAnsi="Times New Roman"/>
          <w:szCs w:val="24"/>
          <w:lang w:eastAsia="en-GB"/>
        </w:rPr>
        <w:t xml:space="preserve"> ha affrontato la questione dello sviluppo sostenibile dell’agricoltura indiana. Come sottolineato da numerosi osservatori, </w:t>
      </w:r>
      <w:r w:rsidR="00823561" w:rsidRPr="00EF68C5">
        <w:rPr>
          <w:rFonts w:ascii="Times New Roman" w:eastAsia="Times New Roman" w:hAnsi="Times New Roman"/>
          <w:color w:val="000000"/>
          <w:szCs w:val="24"/>
          <w:lang w:val="it-IT"/>
        </w:rPr>
        <w:t>il</w:t>
      </w:r>
      <w:r w:rsidRPr="00EF68C5">
        <w:rPr>
          <w:rFonts w:ascii="Times New Roman" w:eastAsia="Times New Roman" w:hAnsi="Times New Roman"/>
          <w:color w:val="000000"/>
          <w:szCs w:val="24"/>
        </w:rPr>
        <w:t xml:space="preserve"> processo di crescita registrato dal settore primario del subcontinente non è stato privo di squilibri. Ancora oggi una parte consistente della popolazione - il 22% - ha difficoltà ad accedere alle risorse alimentari mentre la crescita dei redditi agricoli è stata insufficiente a colmare il gap con gli altri comparti </w:t>
      </w:r>
      <w:r w:rsidR="00823561" w:rsidRPr="00EF68C5">
        <w:rPr>
          <w:rFonts w:ascii="Times New Roman" w:eastAsia="Times New Roman" w:hAnsi="Times New Roman"/>
          <w:color w:val="000000"/>
          <w:szCs w:val="24"/>
          <w:lang w:val="it-IT"/>
        </w:rPr>
        <w:t xml:space="preserve">produttivi. </w:t>
      </w:r>
      <w:r w:rsidRPr="00EF68C5">
        <w:rPr>
          <w:rFonts w:ascii="Times New Roman" w:eastAsia="Times New Roman" w:hAnsi="Times New Roman"/>
          <w:color w:val="000000"/>
          <w:szCs w:val="24"/>
        </w:rPr>
        <w:t xml:space="preserve">L’economia agricola dell’India deve inoltre </w:t>
      </w:r>
      <w:r w:rsidR="00823561" w:rsidRPr="00EF68C5">
        <w:rPr>
          <w:rFonts w:ascii="Times New Roman" w:eastAsia="Times New Roman" w:hAnsi="Times New Roman"/>
          <w:color w:val="000000"/>
          <w:szCs w:val="24"/>
          <w:lang w:val="it-IT"/>
        </w:rPr>
        <w:t>fronteggiare</w:t>
      </w:r>
      <w:r w:rsidRPr="00EF68C5">
        <w:rPr>
          <w:rFonts w:ascii="Times New Roman" w:eastAsia="Times New Roman" w:hAnsi="Times New Roman"/>
          <w:color w:val="000000"/>
          <w:szCs w:val="24"/>
        </w:rPr>
        <w:t xml:space="preserve"> problematiche ambientali connesse non soltanto allo sfruttamento di terreni e risorse idriche, ma anche agli eventi estremi</w:t>
      </w:r>
      <w:r w:rsidR="00823561" w:rsidRPr="00EF68C5">
        <w:rPr>
          <w:rFonts w:ascii="Times New Roman" w:eastAsia="Times New Roman" w:hAnsi="Times New Roman"/>
          <w:color w:val="000000"/>
          <w:szCs w:val="24"/>
          <w:lang w:val="it-IT"/>
        </w:rPr>
        <w:t>, quali</w:t>
      </w:r>
      <w:r w:rsidRPr="00EF68C5">
        <w:rPr>
          <w:rFonts w:ascii="Times New Roman" w:eastAsia="Times New Roman" w:hAnsi="Times New Roman"/>
          <w:color w:val="000000"/>
          <w:szCs w:val="24"/>
        </w:rPr>
        <w:t xml:space="preserve"> cicloni e ondate di calore</w:t>
      </w:r>
      <w:r w:rsidR="00823561" w:rsidRPr="00EF68C5">
        <w:rPr>
          <w:rFonts w:ascii="Times New Roman" w:eastAsia="Times New Roman" w:hAnsi="Times New Roman"/>
          <w:color w:val="000000"/>
          <w:szCs w:val="24"/>
          <w:lang w:val="it-IT"/>
        </w:rPr>
        <w:t xml:space="preserve">, </w:t>
      </w:r>
      <w:r w:rsidRPr="00EF68C5">
        <w:rPr>
          <w:rFonts w:ascii="Times New Roman" w:eastAsia="Times New Roman" w:hAnsi="Times New Roman"/>
          <w:color w:val="000000"/>
          <w:szCs w:val="24"/>
        </w:rPr>
        <w:t xml:space="preserve">che sempre più spesso colpiscono il territorio. In questo contesto – hanno spiegato i relatori – l’impiego di macchinari innovativi </w:t>
      </w:r>
      <w:r w:rsidR="00823561" w:rsidRPr="00EF68C5">
        <w:rPr>
          <w:rFonts w:ascii="Times New Roman" w:eastAsia="Times New Roman" w:hAnsi="Times New Roman"/>
          <w:color w:val="000000"/>
          <w:szCs w:val="24"/>
          <w:lang w:val="it-IT"/>
        </w:rPr>
        <w:t>ha</w:t>
      </w:r>
      <w:r w:rsidRPr="00EF68C5">
        <w:rPr>
          <w:rFonts w:ascii="Times New Roman" w:eastAsia="Times New Roman" w:hAnsi="Times New Roman"/>
          <w:color w:val="000000"/>
          <w:szCs w:val="24"/>
        </w:rPr>
        <w:t xml:space="preserve"> un ruolo fondamentale per garantire la salubrità delle produzioni, razionalizzare l’impiego degli input, ridurre il consumo delle risorse naturali e preservare l’integrità dei terreni. Le moderne tecnologie applicate all’agricoltura, in particolare quelle digitali – è stato sottolineato nel corso del convegno – forniscono già oggi tutti gli strumenti necessari per una transizione dell’economia agricola indiana verso sistemi di coltivazione più produttivi, </w:t>
      </w:r>
      <w:r w:rsidR="00CF5D04" w:rsidRPr="00EF68C5">
        <w:rPr>
          <w:rFonts w:ascii="Times New Roman" w:eastAsia="Times New Roman" w:hAnsi="Times New Roman"/>
          <w:color w:val="000000"/>
          <w:szCs w:val="24"/>
          <w:lang w:val="it-IT"/>
        </w:rPr>
        <w:t>ecocompatibili</w:t>
      </w:r>
      <w:r w:rsidRPr="00EF68C5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823561" w:rsidRPr="00EF68C5">
        <w:rPr>
          <w:rFonts w:ascii="Times New Roman" w:eastAsia="Times New Roman" w:hAnsi="Times New Roman"/>
          <w:color w:val="000000"/>
          <w:szCs w:val="24"/>
          <w:lang w:val="it-IT"/>
        </w:rPr>
        <w:t>e</w:t>
      </w:r>
      <w:r w:rsidRPr="00EF68C5">
        <w:rPr>
          <w:rFonts w:ascii="Times New Roman" w:eastAsia="Times New Roman" w:hAnsi="Times New Roman"/>
          <w:color w:val="000000"/>
          <w:szCs w:val="24"/>
        </w:rPr>
        <w:t xml:space="preserve"> remunerativi.</w:t>
      </w:r>
    </w:p>
    <w:p w14:paraId="46CFE12D" w14:textId="66BE3FC8" w:rsidR="00FF215E" w:rsidRPr="00EF68C5" w:rsidRDefault="00FF215E" w:rsidP="0033589C">
      <w:pPr>
        <w:tabs>
          <w:tab w:val="left" w:pos="4111"/>
        </w:tabs>
        <w:ind w:left="1276" w:right="-1327"/>
        <w:jc w:val="both"/>
        <w:rPr>
          <w:rFonts w:ascii="Times New Roman" w:hAnsi="Times New Roman"/>
          <w:szCs w:val="24"/>
          <w:lang w:eastAsia="en-GB"/>
        </w:rPr>
      </w:pPr>
      <w:r w:rsidRPr="00EF68C5">
        <w:rPr>
          <w:rFonts w:ascii="Times New Roman" w:eastAsia="Times New Roman" w:hAnsi="Times New Roman"/>
          <w:color w:val="000000"/>
          <w:szCs w:val="24"/>
          <w:lang w:val="it-IT"/>
        </w:rPr>
        <w:t xml:space="preserve">Un aspetto fondamentale </w:t>
      </w:r>
      <w:r w:rsidR="00CF5D04" w:rsidRPr="00EF68C5">
        <w:rPr>
          <w:rFonts w:ascii="Times New Roman" w:eastAsia="Times New Roman" w:hAnsi="Times New Roman"/>
          <w:color w:val="000000"/>
          <w:szCs w:val="24"/>
          <w:lang w:val="it-IT"/>
        </w:rPr>
        <w:t>di questo processo</w:t>
      </w:r>
      <w:r w:rsidRPr="00EF68C5">
        <w:rPr>
          <w:rFonts w:ascii="Times New Roman" w:eastAsia="Times New Roman" w:hAnsi="Times New Roman"/>
          <w:color w:val="000000"/>
          <w:szCs w:val="24"/>
          <w:lang w:val="it-IT"/>
        </w:rPr>
        <w:t xml:space="preserve"> è l’evoluzione motoristica, come evidenziato dal presidente di Kohler Engines Vincenzo Perrone nel proprio intervento. L’azienda Kohler – ha detto Perrone – si appresta a lanciare sul mercato indiano, dal gennaio 2026, un propulsore Stage V. L’azienda sta anche sviluppando motori a gasolio rinnovabile e ad idrogeno, che offriranno performance sempre migliori combinando potenza e sostenibilità. </w:t>
      </w:r>
    </w:p>
    <w:p w14:paraId="10B70E6E" w14:textId="77777777" w:rsidR="0033589C" w:rsidRPr="009F048E" w:rsidRDefault="0033589C" w:rsidP="0033589C">
      <w:pPr>
        <w:ind w:left="1276" w:right="-1327"/>
        <w:jc w:val="both"/>
        <w:rPr>
          <w:rFonts w:ascii="Times New Roman" w:hAnsi="Times New Roman"/>
          <w:b/>
          <w:bCs/>
          <w:szCs w:val="24"/>
          <w:lang w:val="it-IT"/>
        </w:rPr>
      </w:pPr>
    </w:p>
    <w:p w14:paraId="2A48FB8E" w14:textId="52AA3071" w:rsidR="00135006" w:rsidRPr="00B61288" w:rsidRDefault="0033589C" w:rsidP="00B61288">
      <w:pPr>
        <w:ind w:left="1276" w:right="-1327"/>
        <w:jc w:val="both"/>
        <w:rPr>
          <w:rFonts w:ascii="Times New Roman" w:hAnsi="Times New Roman"/>
          <w:b/>
          <w:bCs/>
          <w:szCs w:val="24"/>
          <w:lang w:val="it-IT"/>
        </w:rPr>
      </w:pPr>
      <w:r w:rsidRPr="009F048E">
        <w:rPr>
          <w:rFonts w:ascii="Times New Roman" w:hAnsi="Times New Roman"/>
          <w:b/>
          <w:bCs/>
          <w:szCs w:val="24"/>
          <w:lang w:val="it-IT"/>
        </w:rPr>
        <w:t xml:space="preserve">Bangalore, </w:t>
      </w:r>
      <w:r w:rsidR="007A5D5E" w:rsidRPr="009F048E">
        <w:rPr>
          <w:rFonts w:ascii="Times New Roman" w:hAnsi="Times New Roman"/>
          <w:b/>
          <w:bCs/>
          <w:szCs w:val="24"/>
          <w:lang w:val="it-IT"/>
        </w:rPr>
        <w:t>29 febbraio</w:t>
      </w:r>
      <w:r w:rsidRPr="009F048E">
        <w:rPr>
          <w:rFonts w:ascii="Times New Roman" w:hAnsi="Times New Roman"/>
          <w:b/>
          <w:bCs/>
          <w:szCs w:val="24"/>
          <w:lang w:val="it-IT"/>
        </w:rPr>
        <w:t xml:space="preserve"> 2024</w:t>
      </w:r>
    </w:p>
    <w:sectPr w:rsidR="00135006" w:rsidRPr="00B612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AA7D5" w14:textId="77777777" w:rsidR="00ED3744" w:rsidRDefault="00ED3744">
      <w:r>
        <w:separator/>
      </w:r>
    </w:p>
  </w:endnote>
  <w:endnote w:type="continuationSeparator" w:id="0">
    <w:p w14:paraId="127DBBAD" w14:textId="77777777" w:rsidR="00ED3744" w:rsidRDefault="00ED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8BA9" w14:textId="77777777" w:rsidR="0034639D" w:rsidRDefault="003463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3E3C" w14:textId="77777777" w:rsidR="0034639D" w:rsidRDefault="0034639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C34F" w14:textId="77777777" w:rsidR="0034639D" w:rsidRDefault="003463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4A45B" w14:textId="77777777" w:rsidR="00ED3744" w:rsidRDefault="00ED3744">
      <w:r>
        <w:separator/>
      </w:r>
    </w:p>
  </w:footnote>
  <w:footnote w:type="continuationSeparator" w:id="0">
    <w:p w14:paraId="23B27FE1" w14:textId="77777777" w:rsidR="00ED3744" w:rsidRDefault="00ED3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44" w14:textId="77777777" w:rsidR="0034639D" w:rsidRDefault="003463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137A" w14:textId="77777777" w:rsidR="00135006" w:rsidRDefault="0034639D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D23775" wp14:editId="00A63FC0">
          <wp:simplePos x="0" y="0"/>
          <wp:positionH relativeFrom="column">
            <wp:posOffset>-1108439</wp:posOffset>
          </wp:positionH>
          <wp:positionV relativeFrom="paragraph">
            <wp:posOffset>-435429</wp:posOffset>
          </wp:positionV>
          <wp:extent cx="7500257" cy="10614235"/>
          <wp:effectExtent l="0" t="0" r="5715" b="317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172" cy="10641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B4F4" w14:textId="77777777" w:rsidR="0034639D" w:rsidRDefault="0034639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AF"/>
    <w:rsid w:val="000534AF"/>
    <w:rsid w:val="00135006"/>
    <w:rsid w:val="00165000"/>
    <w:rsid w:val="001F28FD"/>
    <w:rsid w:val="0033589C"/>
    <w:rsid w:val="0034639D"/>
    <w:rsid w:val="00533E4C"/>
    <w:rsid w:val="007255FB"/>
    <w:rsid w:val="007A5D5E"/>
    <w:rsid w:val="00820205"/>
    <w:rsid w:val="00823561"/>
    <w:rsid w:val="008350A0"/>
    <w:rsid w:val="009A3CBD"/>
    <w:rsid w:val="009F048E"/>
    <w:rsid w:val="00A23A2B"/>
    <w:rsid w:val="00B61288"/>
    <w:rsid w:val="00B9409C"/>
    <w:rsid w:val="00CF5D04"/>
    <w:rsid w:val="00DB394D"/>
    <w:rsid w:val="00E20EB3"/>
    <w:rsid w:val="00ED3744"/>
    <w:rsid w:val="00EF68C5"/>
    <w:rsid w:val="00F0751F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06C28"/>
  <w15:chartTrackingRefBased/>
  <w15:docId w15:val="{39D26BDD-105D-DC48-8487-FF36B94E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lang w:val="el-G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Normale1">
    <w:name w:val="Normale1"/>
    <w:rsid w:val="00DB394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GB"/>
    </w:rPr>
  </w:style>
  <w:style w:type="paragraph" w:customStyle="1" w:styleId="Normale2">
    <w:name w:val="Normale2"/>
    <w:rsid w:val="008350A0"/>
    <w:rPr>
      <w:rFonts w:ascii="Calibri" w:eastAsia="Calibri" w:hAnsi="Calibri" w:cs="Calibri"/>
      <w:color w:val="000000"/>
      <w:lang w:val="en-GB"/>
    </w:rPr>
  </w:style>
  <w:style w:type="paragraph" w:customStyle="1" w:styleId="Corpo">
    <w:name w:val="Corpo"/>
    <w:rsid w:val="008350A0"/>
    <w:rPr>
      <w:rFonts w:ascii="Helvetica Neue" w:eastAsia="Arial Unicode MS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 for sale</Company>
  <LinksUpToDate>false</LinksUpToDate>
  <CharactersWithSpaces>3773</CharactersWithSpaces>
  <SharedDoc>false</SharedDoc>
  <HLinks>
    <vt:vector size="6" baseType="variant">
      <vt:variant>
        <vt:i4>3932214</vt:i4>
      </vt:variant>
      <vt:variant>
        <vt:i4>-1</vt:i4>
      </vt:variant>
      <vt:variant>
        <vt:i4>2056</vt:i4>
      </vt:variant>
      <vt:variant>
        <vt:i4>1</vt:i4>
      </vt:variant>
      <vt:variant>
        <vt:lpwstr>carta intestata agrimach comunicato stampa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Version</dc:creator>
  <cp:keywords/>
  <cp:lastModifiedBy>Patrizia Menicucci</cp:lastModifiedBy>
  <cp:revision>3</cp:revision>
  <dcterms:created xsi:type="dcterms:W3CDTF">2024-02-29T11:58:00Z</dcterms:created>
  <dcterms:modified xsi:type="dcterms:W3CDTF">2024-02-29T12:06:00Z</dcterms:modified>
</cp:coreProperties>
</file>